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FA7B" w14:textId="397AB7D3" w:rsidR="000772E8" w:rsidRDefault="008B0607"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Screening guidelines: All individuals planning on living at the property over the age of 18, must apply.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For more details regarding this unit, please visit our website at www.residentialequitymgmt.com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*Please email Agent at janelle@residentialequitymgmt.com for details &amp; showing time schedule.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QUALIFICATIONS: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The following items are used as criteria to determine whether a resident will be accepted for a rental home with Residential Equity Management.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1. The total income for the household must be at least 3 times the monthly rent. All income must be lawful and verifiable. We will ask for a current pay stub for each applicant. Other forms of verification may include: IRS 1040 (first 2 pages), court documentation, or county aid documentation. This property accepts State/Federal Housing subsidy programs as a source of income.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2. A credit &amp; unlawful detainer check will be ran.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3. Landlord history will be verified for at least the last 2 years &amp; employment verification. Again, if any applicant has had an eviction, the application will be declined.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4. A credit score of at least 650 is normally required.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5. Co-signer: only if noted as such in property terms.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6. All adults (18 years and older) must complete a separate application and application fee.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7. Renters Liability Insurance is required at a minimum of $100,000.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Lease terms are (usually) 1 year in length, and renewable at the end of each term upon evaluation of the tenant’s payment history, adherence to the terms of the lease &amp; owner approval.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Security deposits and first month's rent must be paid in the form of a money order or cashier's check prior to occupancy. Once your application is approved, applicant(s) will have 24 hrs (business days) to decide on such property and to place a security deposit. Properties are typically held for no more than 21 days.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We DO NOT accept the Zillow rental application. You must apply through our website at www.ResidentialEquityMgmt.com or request a paper application from our office. Residential Equity Management does NOT advertise on Craigslist or Facebook Marketplace.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*We Do Business in Accordance with State and Federal Fair Housing Laws. It is Illegal to Discriminate Against Any Person Because of Race, Color, Religion, Sex, Handicap, Familial Status or National Origin.</w:t>
      </w:r>
      <w:r>
        <w:rPr>
          <w:rFonts w:ascii="Arial" w:hAnsi="Arial" w:cs="Arial"/>
          <w:color w:val="1A1E23"/>
          <w:sz w:val="21"/>
          <w:szCs w:val="21"/>
        </w:rPr>
        <w:br/>
      </w:r>
      <w:r>
        <w:rPr>
          <w:rFonts w:ascii="Arial" w:hAnsi="Arial" w:cs="Arial"/>
          <w:color w:val="1A1E23"/>
          <w:sz w:val="21"/>
          <w:szCs w:val="21"/>
          <w:shd w:val="clear" w:color="auto" w:fill="FFFFFF"/>
        </w:rPr>
        <w:t>Cal BRE #01150855</w:t>
      </w:r>
    </w:p>
    <w:sectPr w:rsidR="0007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07"/>
    <w:rsid w:val="000772E8"/>
    <w:rsid w:val="00365B74"/>
    <w:rsid w:val="008B0607"/>
    <w:rsid w:val="00A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60D1"/>
  <w15:chartTrackingRefBased/>
  <w15:docId w15:val="{96D50232-3137-445C-ACFC-4F1EE902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6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Nord</dc:creator>
  <cp:keywords/>
  <dc:description/>
  <cp:lastModifiedBy>Janelle Nord</cp:lastModifiedBy>
  <cp:revision>1</cp:revision>
  <dcterms:created xsi:type="dcterms:W3CDTF">2025-06-03T17:48:00Z</dcterms:created>
  <dcterms:modified xsi:type="dcterms:W3CDTF">2025-06-03T17:48:00Z</dcterms:modified>
</cp:coreProperties>
</file>